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left"/>
        <w:rPr>
          <w:szCs w:val="28"/>
        </w:rPr>
      </w:pPr>
      <w:r>
        <w:rPr>
          <w:szCs w:val="28"/>
        </w:rPr>
        <w:t xml:space="preserve">Приложение 6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к решению Совета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 23.10.2025 г.№ 119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«Приложение 11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УТВЕРЖДЕНА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решением Совета</w:t>
      </w:r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муниципального образования </w:t>
      </w:r>
      <w:bookmarkStart w:id="0" w:name="_Hlk182163320"/>
      <w:r>
        <w:rPr>
          <w:szCs w:val="28"/>
        </w:rPr>
        <w:t xml:space="preserve">Ленинградский муниципальный округ Краснодарского края</w:t>
      </w:r>
      <w:bookmarkEnd w:id="0"/>
      <w:r/>
      <w:r>
        <w:rPr>
          <w:szCs w:val="28"/>
        </w:rPr>
      </w:r>
    </w:p>
    <w:p>
      <w:pPr>
        <w:ind w:left="4536"/>
        <w:jc w:val="left"/>
        <w:rPr>
          <w:szCs w:val="28"/>
        </w:rPr>
      </w:pPr>
      <w:r>
        <w:rPr>
          <w:szCs w:val="28"/>
        </w:rPr>
        <w:t xml:space="preserve">от 24.12.2024 г. № 146 </w:t>
      </w:r>
      <w:r>
        <w:rPr>
          <w:szCs w:val="28"/>
        </w:rPr>
      </w:r>
    </w:p>
    <w:p>
      <w:pPr>
        <w:jc w:val="center"/>
      </w:pPr>
      <w:r/>
      <w:r/>
    </w:p>
    <w:p>
      <w:pPr>
        <w:jc w:val="center"/>
      </w:pPr>
      <w:r>
        <w:t xml:space="preserve">Программа муниципальных внутренних заимствований </w:t>
      </w:r>
      <w:r/>
    </w:p>
    <w:p>
      <w:pPr>
        <w:jc w:val="center"/>
      </w:pPr>
      <w:r>
        <w:t xml:space="preserve">муниципального образования Ленинградский </w:t>
      </w:r>
      <w:r>
        <w:rPr>
          <w:szCs w:val="28"/>
        </w:rPr>
        <w:t xml:space="preserve">муниципальный округ Краснодарского края</w:t>
      </w:r>
      <w:r>
        <w:t xml:space="preserve"> на 2025 и плановый период 2026 и 2027 годы</w:t>
      </w:r>
      <w:r/>
    </w:p>
    <w:p>
      <w:pPr>
        <w:jc w:val="center"/>
      </w:pPr>
      <w:r/>
      <w:r/>
    </w:p>
    <w:tbl>
      <w:tblPr>
        <w:tblStyle w:val="620"/>
        <w:tblW w:w="9375" w:type="dxa"/>
        <w:tblInd w:w="-1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sz w:val="16"/>
              </w:rPr>
            </w:pP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Style w:val="620"/>
        <w:tblW w:w="955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4"/>
        <w:gridCol w:w="4253"/>
        <w:gridCol w:w="1336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  <w:tblHeader/>
        </w:trPr>
        <w:tc>
          <w:tcPr>
            <w:tcW w:w="724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№ п/п</w:t>
            </w:r>
            <w:r/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</w:t>
            </w:r>
            <w:r/>
          </w:p>
        </w:tc>
        <w:tc>
          <w:tcPr>
            <w:gridSpan w:val="3"/>
            <w:tcW w:w="4576" w:type="dxa"/>
            <w:textDirection w:val="lrTb"/>
            <w:noWrap w:val="false"/>
          </w:tcPr>
          <w:p>
            <w:pPr>
              <w:jc w:val="center"/>
            </w:pPr>
            <w:r>
              <w:t xml:space="preserve">Сумма (тыс. рублей)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/>
        </w:trPr>
        <w:tc>
          <w:tcPr>
            <w:tcW w:w="724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vMerge w:val="continue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</w:pPr>
            <w:r>
              <w:t xml:space="preserve">2025 год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2026 год</w:t>
            </w:r>
            <w:r/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2027 год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>
              <w:t xml:space="preserve">1.</w:t>
            </w:r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муниципального образования Ленинградский муниципальный округ Краснодарского края, всего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0,0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погашение основной суммы долга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/>
            <w:r/>
          </w:p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-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</w:pPr>
            <w:r>
              <w:t xml:space="preserve">2.</w:t>
            </w:r>
            <w:r/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привлеченные в бюджет муниципального образования Ленинградский муниципальный округ Краснодарского края от других бюджетов бюджетной системы Российской Федерации, всего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rPr>
                <w:szCs w:val="28"/>
              </w:rPr>
              <w:t xml:space="preserve">5042,5</w:t>
            </w:r>
            <w:r/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3542,5</w:t>
            </w:r>
            <w:r/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</w:pPr>
            <w:r>
              <w:t xml:space="preserve">7085,0</w:t>
            </w:r>
            <w: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0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336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5042,5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t xml:space="preserve">3542,5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t xml:space="preserve">7085,0</w:t>
            </w:r>
            <w:r>
              <w:rPr>
                <w:szCs w:val="28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</w:t>
            </w:r>
            <w:r>
              <w:rPr>
                <w:szCs w:val="28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от кредитных организаций, всего</w:t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57000,0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57000,0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sz w:val="20"/>
              </w:rPr>
            </w:pPr>
            <w:r>
              <w:rPr>
                <w:szCs w:val="28"/>
              </w:rPr>
              <w:t xml:space="preserve">в том числе:</w:t>
            </w:r>
            <w:r>
              <w:rPr>
                <w:sz w:val="20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привлечение</w:t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57000,0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ind w:left="803"/>
              <w:rPr>
                <w:szCs w:val="28"/>
              </w:rPr>
            </w:pPr>
            <w:r>
              <w:rPr>
                <w:szCs w:val="28"/>
              </w:rPr>
              <w:t xml:space="preserve">погашение основной суммы долга</w:t>
            </w:r>
            <w:r>
              <w:rPr>
                <w:szCs w:val="28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57000,0</w:t>
            </w:r>
            <w:r>
              <w:rPr>
                <w:szCs w:val="28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0,0»</w:t>
            </w:r>
            <w:r>
              <w:rPr>
                <w:szCs w:val="28"/>
              </w:rPr>
            </w:r>
          </w:p>
        </w:tc>
      </w:tr>
    </w:tbl>
    <w:p>
      <w:pPr>
        <w:widowControl w:val="off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Заместитель главы Ленинградского </w:t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муниципального округа, </w:t>
      </w:r>
      <w:r>
        <w:rPr>
          <w:color w:val="000000"/>
          <w:szCs w:val="28"/>
        </w:rPr>
      </w:r>
    </w:p>
    <w:p>
      <w:pPr>
        <w:rPr>
          <w:color w:val="000000"/>
          <w:szCs w:val="28"/>
        </w:rPr>
      </w:pPr>
      <w:r>
        <w:rPr>
          <w:color w:val="000000"/>
          <w:szCs w:val="28"/>
        </w:rPr>
        <w:t xml:space="preserve">начальник финансового </w:t>
      </w:r>
      <w:r>
        <w:rPr>
          <w:color w:val="000000"/>
          <w:szCs w:val="28"/>
        </w:rPr>
      </w:r>
    </w:p>
    <w:p>
      <w:pPr>
        <w:rPr>
          <w:szCs w:val="28"/>
        </w:rPr>
      </w:pPr>
      <w:r>
        <w:rPr>
          <w:color w:val="000000"/>
          <w:szCs w:val="28"/>
          <w:lang w:val="ru-RU"/>
        </w:rPr>
        <w:t xml:space="preserve">у</w:t>
      </w:r>
      <w:r>
        <w:rPr>
          <w:color w:val="000000"/>
          <w:szCs w:val="28"/>
        </w:rPr>
        <w:t xml:space="preserve">правления</w:t>
      </w:r>
      <w:r>
        <w:rPr>
          <w:rFonts w:hint="default"/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 xml:space="preserve">администрации                                                                  С.В. Тертица</w:t>
      </w:r>
      <w:r>
        <w:rPr>
          <w:szCs w:val="28"/>
        </w:rPr>
      </w:r>
    </w:p>
    <w:p>
      <w:pPr>
        <w:widowControl w:val="off"/>
        <w:rPr>
          <w:szCs w:val="28"/>
        </w:rPr>
      </w:pPr>
      <w:r/>
      <w:bookmarkStart w:id="1" w:name="_GoBack"/>
      <w:r/>
      <w:bookmarkEnd w:id="1"/>
      <w:r/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9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9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9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9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9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uiPriority w:val="0"/>
    <w:qFormat/>
    <w:pPr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character" w:styleId="619" w:default="1">
    <w:name w:val="Default Paragraph Font"/>
    <w:uiPriority w:val="1"/>
    <w:semiHidden/>
    <w:unhideWhenUsed/>
    <w:qFormat/>
  </w:style>
  <w:style w:type="table" w:styleId="620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>
    <w:name w:val="Balloon Text"/>
    <w:basedOn w:val="618"/>
    <w:uiPriority w:val="0"/>
    <w:semiHidden/>
    <w:qFormat/>
    <w:rPr>
      <w:rFonts w:ascii="Tahoma" w:hAnsi="Tahoma" w:cs="Tahoma"/>
      <w:sz w:val="16"/>
      <w:szCs w:val="16"/>
    </w:rPr>
  </w:style>
  <w:style w:type="numbering" w:styleId="150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229A-3269-49CF-9630-421C001AFE34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9</cp:revision>
  <dcterms:created xsi:type="dcterms:W3CDTF">2024-11-10T17:45:00Z</dcterms:created>
  <dcterms:modified xsi:type="dcterms:W3CDTF">2025-11-10T10:40:27Z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126B8C8CF9F94C159FA1B795A88B00E2_12</vt:lpwstr>
  </property>
</Properties>
</file>